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178</w:t>
      </w:r>
    </w:p>
    <w:p>
      <w:r>
        <w:t>Bundesgericht (BGE), 1974-12-16, DE</w:t>
      </w:r>
    </w:p>
    <w:p>
      <w:r>
        <w:rPr>
          <w:b/>
        </w:rPr>
        <w:t xml:space="preserve">Quelle: </w:t>
      </w:r>
      <w:r>
        <w:t>https://mcp.opencaselaw.ch/entscheid/bge_100 V 178</w:t>
      </w:r>
    </w:p>
    <w:p>
      <w:r>
        <w:t>FR: ATF 100 V 178</w:t>
      </w:r>
    </w:p>
    <w:p>
      <w:r>
        <w:t>IT: DTF 100 V 178</w:t>
      </w:r>
    </w:p>
    <w:p>
      <w:pPr>
        <w:pStyle w:val="Heading2"/>
      </w:pPr>
      <w:r>
        <w:t>Regeste</w:t>
      </w:r>
    </w:p>
    <w:p>
      <w:r>
        <w:t>Regeste Art. 13 und 14 IVG. Rechtliche Beziehungen zwischen Invalidenversicherung, medizinischen Durchführungsstellen und Versicherten.</w:t>
      </w:r>
    </w:p>
    <w:p>
      <w:pPr>
        <w:pStyle w:val="Heading2"/>
      </w:pPr>
      <w:r>
        <w:t>Erwägungen</w:t>
      </w:r>
    </w:p>
    <w:p>
      <w:r>
        <w:rPr>
          <w:b/>
        </w:rPr>
        <w:t>E. 1</w:t>
      </w:r>
    </w:p>
    <w:p>
      <w:r>
        <w:t>Entgegen der Auffassung der Vorinstanz trifft es nicht zu, dass die umstrittenen Massnahmen erst nach dem 20. Altersjahr des Beschwerdeführers zugesprochen worden sind. Die Anmeldung vom 15. Januar 1973 bezog sich auf medizinische Massnahmen wegen eines Gehirnschadens und auf eine Rente. Die medizinischen Massnahmen zur Behandlung der Geburtsgebrechen Ziff. 209, 210 und 214 wurden jedoch mit Verfügung vom 30. Mai 1972, also vor Erreichen der Volljährigkeit gewährt. Im übrigen hat aber der kantonale Richter zutreffend dargelegt, weshalb der Beschwerdeführer, dessen Geburtsgebrechen nicht vor seiner Mündigkeit behandelt worden sind, im Sinne von BGE 98 V 35 grundsätzlich keine Leistungen gemäss Art. 13 IVG beanspruchen kann.</w:t>
      </w:r>
    </w:p>
    <w:p>
      <w:r>
        <w:rPr>
          <w:b/>
        </w:rPr>
        <w:t>E. 2</w:t>
      </w:r>
    </w:p>
    <w:p>
      <w:r>
        <w:t>Es fragt sich indessen, ob in Anwendung der in BGE 99 V 152 aufgestellten Grundsätze der Beschwerdeführer der Invalidenversicherung gegenüber trotz des Fristablaufs Anspruch auf Gewährung der - bereits durchgeführten - Operationen hat. Es ist Sache der Invalidenversicherung, die Durchführungsstelle mit der Vornahme der bewilligten medizinischen Massnahme zu betrauen. Dadurch entsteht ein Auftragsverhältnis zwischen der Versicherung und der Stelle, welche die Eingliederungsmassnahme durchführt; dieses Verhältnis wird ergänzt durch allfällige spezielle Vereinbarungen, namentlich im Sinne von Art. 27 IVG . Zwischen der Durchführungsstelle und dem Versicherten fehlt es in der Regel an direkten Rechtsbeziehungen; insbesondere entstehen solche nicht bezüglich der im Auftrag der Invalidenversicherung von der durchführenden Stelle zu erbringenden Leistungen. Das Verhältnis zwischen der Invalidenversicherung und dem Versicherten richtet sich nach den Bestimmungen des IVG ( BGE 99 V 155 Erw. 3). Daraus folgt, dass im Rahmen des Auftragsverhältnisses Invalidenversicherung/ BGE 100 V 178 S. 181 Durchführungsstelle einzig die Versicherung zahlungspflichtig ist. Der Versicherte hat gegenüber der Invalidenversicherung Anspruch auf die medizinischen Massnahmen, die Sachleistungen sind und als solche gesamthaft von der Versicherung angeordnet und bezahlt werden ( BGE 99 V 154 Erw. 2). Dem Versicherten erwachsen im Verhältnis zur Durchführungsstelle keine Verpflichtungen aus Massnahmen, welche die durchführende Stelle über den Auftrag der Versicherung hinaus vorgenommen hat, sofern er seinerseits keinen entsprechenden Auftrag erteilt hat.</w:t>
      </w:r>
    </w:p>
    <w:p>
      <w:r>
        <w:rPr>
          <w:b/>
        </w:rPr>
        <w:t>E. 3</w:t>
      </w:r>
    </w:p>
    <w:p>
      <w:r>
        <w:t>Im vorliegenden Fall geht es nur um das Rechtsverhältnis zwischen der Invalidenversicherung und dem Beschwerdeführer. Sein Anspruch auf medizinische Massnahmen zur Behandlung der Geburtsgebrechen Ziff. 209, 210 und 214 ist mit rechtskräftiger Verfügung vom 30. Mai 1972 bejaht worden. Die Durchführung dieser Sachleistung war grundsätzlich Aufgabe der Versicherung, welche dafür dem Versicherten gegenüber verantwortlich ist, auch wenn sie die Massnahmen im Auftragsverhältnis von Dritten durchführen lässt (vgl. auch Art. 60 Abs. 2 IVG ). Die Invalidenversicherung darf sich daher für die Verweigerung einer bereits zugesprochenen Massnahme nicht darauf berufen, dass sie im Durchführungsverfahren eine Frist versäumt hat; dabei ist es für den Versicherten unerheblich, ob die Fristversäumnis unmittelbar durch ein Organ der Invalidenversicherung oder durch eine von ihr beauftragte Durchführungsstelle verursacht worden ist. Aus dem Gesagten folgt, dass der Beschwerdeführer der Invalidenversicherung gegenüber trotz des Umstandes, dass die - vor dem 20. Altersjahr zugesprochenen - medizinischen Massnahmen erst nach der Volljährigkeit ausgeführt worden sind, Anspruch auf Gewährung dieser Sachleistungen hat... Dispositiv Demnach erkennt das Eidg. Versicherungsgericht: In Gutheissung der Verwaltungsgerichtsbeschwerde wird festgestellt, dass der Beschwerdeführer der Invalidenversicherung gegenüber Anspruch auf Übernahme der mit Verfügung vom 30. Mai 1972 angeordneten und inzwischen durchgeführten medizinischen Massnahmen besitzt.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